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34" w:rsidRPr="00BE52FC" w:rsidRDefault="003D0D34" w:rsidP="003D0D34">
      <w:pPr>
        <w:pStyle w:val="ShapkaDocumentu"/>
        <w:spacing w:after="0"/>
        <w:ind w:left="0"/>
        <w:jc w:val="right"/>
        <w:rPr>
          <w:rFonts w:ascii="Times New Roman" w:hAnsi="Times New Roman"/>
          <w:sz w:val="24"/>
          <w:szCs w:val="24"/>
          <w:lang w:val="ru-RU"/>
        </w:rPr>
      </w:pPr>
      <w:r w:rsidRPr="007020AF">
        <w:rPr>
          <w:rFonts w:ascii="Times New Roman" w:hAnsi="Times New Roman"/>
          <w:sz w:val="24"/>
          <w:szCs w:val="24"/>
        </w:rPr>
        <w:t xml:space="preserve">Додаток </w:t>
      </w:r>
      <w:r>
        <w:rPr>
          <w:rFonts w:ascii="Times New Roman" w:hAnsi="Times New Roman"/>
          <w:sz w:val="24"/>
          <w:szCs w:val="24"/>
        </w:rPr>
        <w:t>1</w:t>
      </w:r>
    </w:p>
    <w:p w:rsidR="003D0D34" w:rsidRPr="007020AF" w:rsidRDefault="003D0D34" w:rsidP="003D0D34">
      <w:pPr>
        <w:pStyle w:val="ShapkaDocumentu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  <w:r w:rsidRPr="007020AF">
        <w:rPr>
          <w:rFonts w:ascii="Times New Roman" w:hAnsi="Times New Roman"/>
          <w:sz w:val="24"/>
          <w:szCs w:val="24"/>
        </w:rPr>
        <w:t>Затверджено</w:t>
      </w:r>
    </w:p>
    <w:p w:rsidR="003D0D34" w:rsidRDefault="003D0D34" w:rsidP="003D0D34">
      <w:pPr>
        <w:pStyle w:val="ShapkaDocumentu"/>
        <w:spacing w:after="0"/>
        <w:ind w:left="10348"/>
        <w:jc w:val="right"/>
        <w:rPr>
          <w:rFonts w:ascii="Times New Roman" w:hAnsi="Times New Roman"/>
          <w:sz w:val="24"/>
          <w:szCs w:val="24"/>
        </w:rPr>
      </w:pPr>
      <w:r w:rsidRPr="007020AF">
        <w:rPr>
          <w:rFonts w:ascii="Times New Roman" w:hAnsi="Times New Roman"/>
          <w:sz w:val="24"/>
          <w:szCs w:val="24"/>
        </w:rPr>
        <w:t>наказом керівника апарату</w:t>
      </w:r>
    </w:p>
    <w:p w:rsidR="003D0D34" w:rsidRPr="007020AF" w:rsidRDefault="003D0D34" w:rsidP="003D0D34">
      <w:pPr>
        <w:pStyle w:val="ShapkaDocumentu"/>
        <w:spacing w:after="0"/>
        <w:ind w:left="106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Тернопільського апеляційного суду</w:t>
      </w:r>
    </w:p>
    <w:p w:rsidR="003D0D34" w:rsidRPr="00B33757" w:rsidRDefault="003D0D34" w:rsidP="003D0D34">
      <w:pPr>
        <w:pStyle w:val="ShapkaDocumentu"/>
        <w:spacing w:after="0"/>
        <w:ind w:left="10773"/>
        <w:jc w:val="right"/>
        <w:rPr>
          <w:rFonts w:ascii="Times New Roman" w:hAnsi="Times New Roman"/>
          <w:color w:val="000000"/>
          <w:sz w:val="24"/>
          <w:szCs w:val="24"/>
        </w:rPr>
      </w:pPr>
      <w:r w:rsidRPr="00B33757">
        <w:rPr>
          <w:rFonts w:ascii="Times New Roman" w:hAnsi="Times New Roman"/>
          <w:color w:val="000000"/>
          <w:sz w:val="24"/>
          <w:szCs w:val="24"/>
        </w:rPr>
        <w:t xml:space="preserve">від  </w:t>
      </w:r>
      <w:r w:rsidR="00B96589">
        <w:rPr>
          <w:rFonts w:ascii="Times New Roman" w:hAnsi="Times New Roman"/>
          <w:color w:val="000000"/>
          <w:sz w:val="24"/>
          <w:szCs w:val="24"/>
        </w:rPr>
        <w:t>28</w:t>
      </w:r>
      <w:r>
        <w:rPr>
          <w:rFonts w:ascii="Times New Roman" w:hAnsi="Times New Roman"/>
          <w:color w:val="000000"/>
          <w:sz w:val="24"/>
          <w:szCs w:val="24"/>
        </w:rPr>
        <w:t>.12</w:t>
      </w:r>
      <w:r w:rsidRPr="00B33757">
        <w:rPr>
          <w:rFonts w:ascii="Times New Roman" w:hAnsi="Times New Roman"/>
          <w:color w:val="000000"/>
          <w:sz w:val="24"/>
          <w:szCs w:val="24"/>
        </w:rPr>
        <w:t xml:space="preserve">.2020 № </w:t>
      </w:r>
      <w:r w:rsidR="00CE1E93">
        <w:rPr>
          <w:rFonts w:ascii="Times New Roman" w:hAnsi="Times New Roman"/>
          <w:color w:val="000000"/>
          <w:sz w:val="24"/>
          <w:szCs w:val="24"/>
        </w:rPr>
        <w:t>4</w:t>
      </w:r>
      <w:r w:rsidR="00DD2266">
        <w:rPr>
          <w:rFonts w:ascii="Times New Roman" w:hAnsi="Times New Roman"/>
          <w:color w:val="000000"/>
          <w:sz w:val="24"/>
          <w:szCs w:val="24"/>
        </w:rPr>
        <w:t>5</w:t>
      </w:r>
      <w:r w:rsidR="00CE1E93">
        <w:rPr>
          <w:rFonts w:ascii="Times New Roman" w:hAnsi="Times New Roman"/>
          <w:color w:val="000000"/>
          <w:sz w:val="24"/>
          <w:szCs w:val="24"/>
        </w:rPr>
        <w:t>-О</w:t>
      </w:r>
    </w:p>
    <w:p w:rsidR="003D0D34" w:rsidRDefault="003D0D34" w:rsidP="003D0D34">
      <w:pPr>
        <w:shd w:val="clear" w:color="auto" w:fill="FFFFFF"/>
        <w:ind w:left="448" w:right="448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ОГОЛОШЕННЯ</w:t>
      </w:r>
    </w:p>
    <w:p w:rsidR="003D0D34" w:rsidRDefault="003D0D34" w:rsidP="003D0D34">
      <w:pPr>
        <w:shd w:val="clear" w:color="auto" w:fill="FFFFFF"/>
        <w:ind w:left="448" w:right="448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на добір на період дії карантину </w:t>
      </w:r>
    </w:p>
    <w:p w:rsidR="003D0D34" w:rsidRPr="00181F77" w:rsidRDefault="003D0D34" w:rsidP="003D0D34">
      <w:pPr>
        <w:pStyle w:val="a4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1284"/>
      </w:tblGrid>
      <w:tr w:rsidR="003D0D34" w:rsidTr="00F254E5">
        <w:tc>
          <w:tcPr>
            <w:tcW w:w="3708" w:type="dxa"/>
            <w:shd w:val="clear" w:color="auto" w:fill="auto"/>
          </w:tcPr>
          <w:p w:rsidR="003D0D34" w:rsidRPr="00AC750A" w:rsidRDefault="003D0D34" w:rsidP="00F254E5">
            <w:pPr>
              <w:rPr>
                <w:b/>
              </w:rPr>
            </w:pPr>
            <w:r>
              <w:rPr>
                <w:b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11284" w:type="dxa"/>
            <w:shd w:val="clear" w:color="auto" w:fill="auto"/>
          </w:tcPr>
          <w:p w:rsidR="003D0D34" w:rsidRPr="00C335D8" w:rsidRDefault="003D0D34" w:rsidP="00F254E5">
            <w:pPr>
              <w:shd w:val="clear" w:color="auto" w:fill="FFFFFF"/>
              <w:ind w:left="101" w:right="450"/>
              <w:jc w:val="both"/>
              <w:rPr>
                <w:iCs/>
                <w:color w:val="000000"/>
              </w:rPr>
            </w:pPr>
            <w:r>
              <w:rPr>
                <w:bCs/>
                <w:noProof/>
              </w:rPr>
              <w:t>С</w:t>
            </w:r>
            <w:r w:rsidRPr="007C65F9">
              <w:rPr>
                <w:bCs/>
                <w:noProof/>
              </w:rPr>
              <w:t xml:space="preserve">екретар судового засідання відділу </w:t>
            </w:r>
            <w:r w:rsidR="00870A11">
              <w:rPr>
                <w:bCs/>
                <w:noProof/>
              </w:rPr>
              <w:t>діловодства та юридичної роботи</w:t>
            </w:r>
            <w:r w:rsidRPr="007C65F9">
              <w:rPr>
                <w:bCs/>
                <w:noProof/>
              </w:rPr>
              <w:t xml:space="preserve"> </w:t>
            </w:r>
            <w:r w:rsidR="00870A11">
              <w:rPr>
                <w:bCs/>
                <w:noProof/>
              </w:rPr>
              <w:t>Тернопільського</w:t>
            </w:r>
            <w:r w:rsidRPr="007C65F9">
              <w:rPr>
                <w:bCs/>
                <w:noProof/>
              </w:rPr>
              <w:t xml:space="preserve"> апеляційного суду</w:t>
            </w:r>
            <w:r>
              <w:rPr>
                <w:bCs/>
                <w:noProof/>
              </w:rPr>
              <w:t xml:space="preserve">, посада державного службовця (категорія </w:t>
            </w:r>
            <w:r w:rsidRPr="00C335D8">
              <w:rPr>
                <w:bCs/>
                <w:noProof/>
              </w:rPr>
              <w:t>«В»</w:t>
            </w:r>
            <w:r>
              <w:rPr>
                <w:bCs/>
                <w:noProof/>
              </w:rPr>
              <w:t xml:space="preserve">) </w:t>
            </w:r>
          </w:p>
          <w:p w:rsidR="003D0D34" w:rsidRPr="00AC750A" w:rsidRDefault="003D0D34" w:rsidP="00F254E5">
            <w:pPr>
              <w:jc w:val="center"/>
              <w:rPr>
                <w:b/>
              </w:rPr>
            </w:pPr>
          </w:p>
        </w:tc>
      </w:tr>
      <w:tr w:rsidR="004B7CD3" w:rsidTr="00F254E5">
        <w:tc>
          <w:tcPr>
            <w:tcW w:w="3708" w:type="dxa"/>
            <w:shd w:val="clear" w:color="auto" w:fill="auto"/>
          </w:tcPr>
          <w:p w:rsidR="004B7CD3" w:rsidRPr="00AC750A" w:rsidRDefault="004B7CD3" w:rsidP="00F254E5">
            <w:pPr>
              <w:jc w:val="both"/>
              <w:rPr>
                <w:b/>
              </w:rPr>
            </w:pPr>
            <w:r w:rsidRPr="00AC750A">
              <w:rPr>
                <w:b/>
              </w:rPr>
              <w:t xml:space="preserve">Посадові обов’язки </w:t>
            </w:r>
          </w:p>
        </w:tc>
        <w:tc>
          <w:tcPr>
            <w:tcW w:w="11284" w:type="dxa"/>
            <w:shd w:val="clear" w:color="auto" w:fill="auto"/>
            <w:vAlign w:val="center"/>
          </w:tcPr>
          <w:p w:rsidR="004B7CD3" w:rsidRPr="00C92A4A" w:rsidRDefault="004B7CD3" w:rsidP="00F254E5">
            <w:pPr>
              <w:pStyle w:val="a6"/>
              <w:spacing w:before="0" w:beforeAutospacing="0" w:after="0" w:afterAutospacing="0" w:line="240" w:lineRule="atLeast"/>
              <w:ind w:right="142"/>
              <w:jc w:val="both"/>
              <w:rPr>
                <w:color w:val="000000"/>
              </w:rPr>
            </w:pPr>
            <w:r w:rsidRPr="00C92A4A">
              <w:rPr>
                <w:color w:val="000000"/>
              </w:rPr>
              <w:t xml:space="preserve">1. Здійснює судові виклики та повідомлення </w:t>
            </w:r>
            <w:r w:rsidR="00945CA5">
              <w:rPr>
                <w:color w:val="000000"/>
              </w:rPr>
              <w:t xml:space="preserve">учасників судового процесу </w:t>
            </w:r>
            <w:r w:rsidRPr="00C92A4A">
              <w:rPr>
                <w:color w:val="000000"/>
              </w:rPr>
              <w:t>відповідно до процесуального законодавства. Слідкує за поверненням розписок про вручення повісток про виклик до суду. Вносить до автоматизованої системи документообігу суду дані про рух справи в суді.</w:t>
            </w:r>
          </w:p>
          <w:p w:rsidR="004B7CD3" w:rsidRPr="00C92A4A" w:rsidRDefault="004B7CD3" w:rsidP="00F254E5">
            <w:pPr>
              <w:pStyle w:val="a6"/>
              <w:spacing w:before="0" w:beforeAutospacing="0" w:after="0" w:afterAutospacing="0" w:line="240" w:lineRule="atLeast"/>
              <w:ind w:right="142"/>
              <w:jc w:val="both"/>
              <w:rPr>
                <w:color w:val="000000"/>
              </w:rPr>
            </w:pPr>
            <w:r w:rsidRPr="00C92A4A">
              <w:rPr>
                <w:color w:val="000000"/>
              </w:rPr>
              <w:t xml:space="preserve">2. Перед початком судового засідання перевіряє наявність та з’ясовує причини відсутності осіб, яких було викликано до суду, хто з учасників судового процесу бере участь у судовому засіданні в режимі </w:t>
            </w:r>
            <w:proofErr w:type="spellStart"/>
            <w:r w:rsidRPr="00C92A4A">
              <w:rPr>
                <w:color w:val="000000"/>
              </w:rPr>
              <w:t>відеоконференції</w:t>
            </w:r>
            <w:proofErr w:type="spellEnd"/>
            <w:r w:rsidRPr="00C92A4A">
              <w:rPr>
                <w:color w:val="000000"/>
              </w:rPr>
              <w:t xml:space="preserve"> і доповідає про це головуючому; встановлює їх особи, перевіряє повноваження захисників і представників, з'ясовує, чи вручено судові виклики та повідомлення тим, хто не прибув, і повідомляє причини їх неприбуття, якщо вони відомі.</w:t>
            </w:r>
          </w:p>
          <w:p w:rsidR="004B7CD3" w:rsidRPr="00C92A4A" w:rsidRDefault="004B7CD3" w:rsidP="00F254E5">
            <w:pPr>
              <w:pStyle w:val="a6"/>
              <w:spacing w:before="0" w:beforeAutospacing="0" w:after="0" w:afterAutospacing="0" w:line="240" w:lineRule="atLeast"/>
              <w:ind w:right="142"/>
              <w:jc w:val="both"/>
              <w:rPr>
                <w:color w:val="000000"/>
              </w:rPr>
            </w:pPr>
            <w:r w:rsidRPr="00C92A4A">
              <w:rPr>
                <w:color w:val="000000"/>
              </w:rPr>
              <w:t xml:space="preserve">3. Забезпечує фіксування судового засідання технічними засобами відповідно до вимог Інструкції про порядок роботи з технічними засобами фіксування судового процесу (судового засідання), Інструкції про порядок роботи з технічними засобами відеозапису ходу і результатів процесуальних дій, проведених у режимі </w:t>
            </w:r>
            <w:proofErr w:type="spellStart"/>
            <w:r w:rsidRPr="00C92A4A">
              <w:rPr>
                <w:color w:val="000000"/>
              </w:rPr>
              <w:t>відеоконференції</w:t>
            </w:r>
            <w:proofErr w:type="spellEnd"/>
            <w:r w:rsidRPr="00C92A4A">
              <w:rPr>
                <w:color w:val="000000"/>
              </w:rPr>
              <w:t xml:space="preserve"> під час судового засідання. </w:t>
            </w:r>
          </w:p>
          <w:p w:rsidR="004B7CD3" w:rsidRPr="00C92A4A" w:rsidRDefault="004B7CD3" w:rsidP="00F254E5">
            <w:pPr>
              <w:pStyle w:val="a6"/>
              <w:spacing w:before="0" w:beforeAutospacing="0" w:after="0" w:afterAutospacing="0" w:line="240" w:lineRule="atLeast"/>
              <w:ind w:right="142"/>
              <w:jc w:val="both"/>
              <w:rPr>
                <w:color w:val="000000"/>
              </w:rPr>
            </w:pPr>
            <w:r w:rsidRPr="00C92A4A">
              <w:rPr>
                <w:color w:val="000000"/>
              </w:rPr>
              <w:t>4. Виконує в судовому засіданні інші розпорядження головуючого, що стосуються розгляду судових справ (проваджень)</w:t>
            </w:r>
          </w:p>
          <w:p w:rsidR="004B7CD3" w:rsidRPr="00C92A4A" w:rsidRDefault="004B7CD3" w:rsidP="00F254E5">
            <w:pPr>
              <w:pStyle w:val="a6"/>
              <w:spacing w:before="0" w:beforeAutospacing="0" w:after="0" w:afterAutospacing="0" w:line="240" w:lineRule="atLeast"/>
              <w:ind w:right="142"/>
              <w:jc w:val="both"/>
              <w:rPr>
                <w:color w:val="000000"/>
              </w:rPr>
            </w:pPr>
            <w:r w:rsidRPr="00C92A4A">
              <w:rPr>
                <w:color w:val="000000"/>
              </w:rPr>
              <w:t xml:space="preserve">5. Здійснює оформлення для направлення копій судових рішень сторонам та іншим особам, які беруть участь у справі. </w:t>
            </w:r>
          </w:p>
          <w:p w:rsidR="004B7CD3" w:rsidRPr="00C92A4A" w:rsidRDefault="004B7CD3" w:rsidP="00F254E5">
            <w:pPr>
              <w:pStyle w:val="a6"/>
              <w:spacing w:before="0" w:beforeAutospacing="0" w:after="0" w:afterAutospacing="0" w:line="240" w:lineRule="atLeast"/>
              <w:ind w:right="142"/>
              <w:jc w:val="both"/>
              <w:rPr>
                <w:color w:val="000000"/>
              </w:rPr>
            </w:pPr>
            <w:r w:rsidRPr="00C92A4A">
              <w:rPr>
                <w:color w:val="000000"/>
              </w:rPr>
              <w:t>6. Підшиває до справи (провадження) в хронологічному порядку документи, додані до справи (матеріалів) в ході судового розгляду у порядку їх надходження, продовжує нумерацію аркушів справи (провадження) та опис документів, що містяться в справі.</w:t>
            </w:r>
          </w:p>
          <w:p w:rsidR="004B7CD3" w:rsidRPr="00C92A4A" w:rsidRDefault="004B7CD3" w:rsidP="00F254E5">
            <w:pPr>
              <w:pStyle w:val="a6"/>
              <w:spacing w:before="0" w:beforeAutospacing="0" w:after="0" w:afterAutospacing="0" w:line="240" w:lineRule="atLeast"/>
              <w:ind w:right="142"/>
              <w:jc w:val="both"/>
              <w:rPr>
                <w:color w:val="000000"/>
              </w:rPr>
            </w:pPr>
            <w:r w:rsidRPr="00C92A4A">
              <w:rPr>
                <w:color w:val="000000"/>
              </w:rPr>
              <w:t>7. Здійснює своєчасну передачу документів для поштової відправки.</w:t>
            </w:r>
          </w:p>
          <w:p w:rsidR="004B7CD3" w:rsidRDefault="004B7CD3" w:rsidP="00F254E5">
            <w:pPr>
              <w:pStyle w:val="a6"/>
              <w:spacing w:before="0" w:beforeAutospacing="0" w:after="0" w:afterAutospacing="0" w:line="240" w:lineRule="atLeast"/>
              <w:ind w:right="142"/>
              <w:jc w:val="both"/>
              <w:rPr>
                <w:color w:val="000000"/>
              </w:rPr>
            </w:pPr>
            <w:r w:rsidRPr="00C92A4A">
              <w:rPr>
                <w:color w:val="000000"/>
              </w:rPr>
              <w:t>8. Вносить достовірні відомості до Автоматизованої системи документообігу суду відповідно до наданих йому прав та функціональних обов’язків про розгляд справ та матеріалів, які знаходяться у провадженні судді.</w:t>
            </w:r>
          </w:p>
          <w:p w:rsidR="004B7CD3" w:rsidRPr="00C92A4A" w:rsidRDefault="004B7CD3" w:rsidP="00F254E5">
            <w:pPr>
              <w:pStyle w:val="a6"/>
              <w:spacing w:before="0" w:beforeAutospacing="0" w:after="0" w:afterAutospacing="0" w:line="240" w:lineRule="atLeast"/>
              <w:ind w:right="142"/>
              <w:jc w:val="both"/>
              <w:rPr>
                <w:vanish/>
              </w:rPr>
            </w:pPr>
          </w:p>
        </w:tc>
      </w:tr>
      <w:tr w:rsidR="004B7CD3" w:rsidTr="00F254E5">
        <w:tc>
          <w:tcPr>
            <w:tcW w:w="3708" w:type="dxa"/>
            <w:shd w:val="clear" w:color="auto" w:fill="auto"/>
          </w:tcPr>
          <w:p w:rsidR="004B7CD3" w:rsidRPr="00AC750A" w:rsidRDefault="004B7CD3" w:rsidP="00F254E5">
            <w:pPr>
              <w:jc w:val="both"/>
              <w:rPr>
                <w:b/>
              </w:rPr>
            </w:pPr>
            <w:r w:rsidRPr="00AC750A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11284" w:type="dxa"/>
            <w:shd w:val="clear" w:color="auto" w:fill="auto"/>
          </w:tcPr>
          <w:p w:rsidR="004B7CD3" w:rsidRPr="003F6A0D" w:rsidRDefault="004B7CD3" w:rsidP="00F254E5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A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посадовий оклад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DD2266">
              <w:rPr>
                <w:rFonts w:ascii="Times New Roman" w:hAnsi="Times New Roman"/>
                <w:color w:val="000000"/>
                <w:sz w:val="24"/>
                <w:szCs w:val="24"/>
              </w:rPr>
              <w:t>490</w:t>
            </w:r>
            <w:r w:rsidRPr="003F6A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A0D">
              <w:rPr>
                <w:rFonts w:ascii="Times New Roman" w:hAnsi="Times New Roman"/>
                <w:color w:val="000000"/>
                <w:sz w:val="24"/>
                <w:szCs w:val="24"/>
              </w:rPr>
              <w:t>грн</w:t>
            </w:r>
            <w:proofErr w:type="spellEnd"/>
            <w:r w:rsidRPr="003F6A0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B7CD3" w:rsidRPr="003F6A0D" w:rsidRDefault="004B7CD3" w:rsidP="00F254E5">
            <w:pPr>
              <w:jc w:val="both"/>
              <w:textAlignment w:val="baseline"/>
              <w:rPr>
                <w:color w:val="000000"/>
              </w:rPr>
            </w:pPr>
            <w:r w:rsidRPr="003F6A0D">
              <w:rPr>
                <w:color w:val="000000"/>
              </w:rPr>
              <w:t xml:space="preserve">- надбавка до посадового окладу за ранг відповідно до постанови Кабінету Міністрів України від </w:t>
            </w:r>
            <w:r>
              <w:rPr>
                <w:color w:val="000000"/>
              </w:rPr>
              <w:t>18</w:t>
            </w:r>
            <w:r w:rsidRPr="003F6A0D">
              <w:rPr>
                <w:color w:val="000000"/>
              </w:rPr>
              <w:t>.0</w:t>
            </w:r>
            <w:r>
              <w:rPr>
                <w:color w:val="000000"/>
              </w:rPr>
              <w:t>1</w:t>
            </w:r>
            <w:r w:rsidRPr="003F6A0D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  <w:r w:rsidRPr="003F6A0D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15</w:t>
            </w:r>
            <w:r w:rsidRPr="003F6A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C83726">
              <w:rPr>
                <w:color w:val="000000"/>
              </w:rPr>
              <w:t>Питання оплати праці працівників державних органів</w:t>
            </w:r>
            <w:r>
              <w:rPr>
                <w:color w:val="000000"/>
              </w:rPr>
              <w:t>»</w:t>
            </w:r>
            <w:r w:rsidRPr="003F6A0D">
              <w:rPr>
                <w:color w:val="000000"/>
              </w:rPr>
              <w:t>;</w:t>
            </w:r>
          </w:p>
          <w:p w:rsidR="004B7CD3" w:rsidRDefault="004B7CD3" w:rsidP="004B7CD3">
            <w:pPr>
              <w:tabs>
                <w:tab w:val="left" w:pos="403"/>
              </w:tabs>
              <w:jc w:val="both"/>
            </w:pPr>
            <w:r w:rsidRPr="003F6A0D">
              <w:rPr>
                <w:color w:val="000000"/>
              </w:rPr>
              <w:t>- надбавки</w:t>
            </w:r>
            <w:r>
              <w:rPr>
                <w:color w:val="000000"/>
              </w:rPr>
              <w:t xml:space="preserve">, </w:t>
            </w:r>
            <w:r w:rsidRPr="003F6A0D">
              <w:rPr>
                <w:color w:val="000000"/>
              </w:rPr>
              <w:t>доплати</w:t>
            </w:r>
            <w:r>
              <w:rPr>
                <w:color w:val="000000"/>
              </w:rPr>
              <w:t>, премії та компенсації</w:t>
            </w:r>
            <w:r w:rsidRPr="003F6A0D">
              <w:rPr>
                <w:color w:val="000000"/>
              </w:rPr>
              <w:t xml:space="preserve"> (відповідно до статті 52 Закону України </w:t>
            </w:r>
            <w:r>
              <w:rPr>
                <w:color w:val="000000"/>
              </w:rPr>
              <w:t>«</w:t>
            </w:r>
            <w:r w:rsidRPr="003F6A0D">
              <w:rPr>
                <w:color w:val="000000"/>
              </w:rPr>
              <w:t>Про державну службу</w:t>
            </w:r>
            <w:r>
              <w:rPr>
                <w:color w:val="000000"/>
              </w:rPr>
              <w:t>»</w:t>
            </w:r>
            <w:r w:rsidRPr="003F6A0D">
              <w:rPr>
                <w:color w:val="000000"/>
              </w:rPr>
              <w:t>)</w:t>
            </w:r>
          </w:p>
        </w:tc>
      </w:tr>
      <w:tr w:rsidR="004B7CD3" w:rsidTr="00F254E5">
        <w:tc>
          <w:tcPr>
            <w:tcW w:w="3708" w:type="dxa"/>
            <w:shd w:val="clear" w:color="auto" w:fill="auto"/>
          </w:tcPr>
          <w:p w:rsidR="004B7CD3" w:rsidRPr="00AC750A" w:rsidRDefault="004B7CD3" w:rsidP="00F254E5">
            <w:pPr>
              <w:jc w:val="both"/>
              <w:rPr>
                <w:b/>
              </w:rPr>
            </w:pPr>
            <w:r w:rsidRPr="00AC750A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1284" w:type="dxa"/>
            <w:shd w:val="clear" w:color="auto" w:fill="auto"/>
          </w:tcPr>
          <w:p w:rsidR="004B7CD3" w:rsidRDefault="004B7CD3" w:rsidP="00F254E5">
            <w:pPr>
              <w:tabs>
                <w:tab w:val="left" w:pos="403"/>
              </w:tabs>
              <w:jc w:val="both"/>
            </w:pPr>
            <w:r>
              <w:t>Строкове призначення на посаду (у</w:t>
            </w:r>
            <w:r>
              <w:rPr>
                <w:noProof/>
              </w:rPr>
              <w:t xml:space="preserve">кладення контракту про проходження державної служби на період дії карантину, </w:t>
            </w:r>
            <w:r w:rsidRPr="00034F20">
              <w:rPr>
                <w:color w:val="000000"/>
                <w:shd w:val="clear" w:color="auto" w:fill="FFFFFF"/>
              </w:rPr>
              <w:t xml:space="preserve">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034F20">
              <w:rPr>
                <w:color w:val="000000"/>
                <w:shd w:val="clear" w:color="auto" w:fill="FFFFFF"/>
              </w:rPr>
              <w:t>коронавірусом</w:t>
            </w:r>
            <w:proofErr w:type="spellEnd"/>
            <w:r w:rsidRPr="00034F20">
              <w:rPr>
                <w:color w:val="000000"/>
                <w:shd w:val="clear" w:color="auto" w:fill="FFFFFF"/>
              </w:rPr>
              <w:t xml:space="preserve"> SARS-CoV-2,</w:t>
            </w:r>
            <w:r>
              <w:rPr>
                <w:color w:val="000000"/>
                <w:shd w:val="clear" w:color="auto" w:fill="FFFFFF"/>
              </w:rPr>
              <w:t xml:space="preserve"> затвердженого постановою КМУ від 22.04.2020 № 290)</w:t>
            </w:r>
          </w:p>
        </w:tc>
      </w:tr>
      <w:tr w:rsidR="004B7CD3" w:rsidTr="00F254E5">
        <w:tc>
          <w:tcPr>
            <w:tcW w:w="3708" w:type="dxa"/>
            <w:shd w:val="clear" w:color="auto" w:fill="auto"/>
          </w:tcPr>
          <w:p w:rsidR="004B7CD3" w:rsidRPr="00AC750A" w:rsidRDefault="004B7CD3" w:rsidP="00F254E5">
            <w:pPr>
              <w:jc w:val="both"/>
              <w:rPr>
                <w:b/>
              </w:rPr>
            </w:pPr>
            <w:r w:rsidRPr="00AC750A">
              <w:rPr>
                <w:b/>
              </w:rPr>
              <w:t xml:space="preserve">Перелік </w:t>
            </w:r>
            <w:r>
              <w:rPr>
                <w:b/>
              </w:rPr>
              <w:t>інформації</w:t>
            </w:r>
            <w:r w:rsidRPr="00AC750A">
              <w:rPr>
                <w:b/>
              </w:rPr>
              <w:t>, необхідн</w:t>
            </w:r>
            <w:r>
              <w:rPr>
                <w:b/>
              </w:rPr>
              <w:t>ої для призначення на вакантну посаду</w:t>
            </w:r>
            <w:r w:rsidRPr="00AC750A">
              <w:rPr>
                <w:b/>
              </w:rPr>
              <w:t>,</w:t>
            </w:r>
            <w:r>
              <w:rPr>
                <w:b/>
              </w:rPr>
              <w:t xml:space="preserve"> в тому числі форма, адресат та строк її подання</w:t>
            </w:r>
          </w:p>
        </w:tc>
        <w:tc>
          <w:tcPr>
            <w:tcW w:w="11284" w:type="dxa"/>
            <w:shd w:val="clear" w:color="auto" w:fill="auto"/>
          </w:tcPr>
          <w:p w:rsidR="004B7CD3" w:rsidRPr="00424562" w:rsidRDefault="004B7CD3" w:rsidP="00F254E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24562">
              <w:rPr>
                <w:color w:val="000000"/>
              </w:rPr>
              <w:t xml:space="preserve">1) заяву про участь у </w:t>
            </w:r>
            <w:r>
              <w:rPr>
                <w:color w:val="000000"/>
              </w:rPr>
              <w:t>доборі</w:t>
            </w:r>
            <w:r w:rsidRPr="00424562">
              <w:rPr>
                <w:color w:val="000000"/>
              </w:rPr>
              <w:t xml:space="preserve"> із зазначенням основних мотивів щодо зайняття посади;</w:t>
            </w:r>
          </w:p>
          <w:p w:rsidR="004B7CD3" w:rsidRPr="00424562" w:rsidRDefault="004B7CD3" w:rsidP="00F254E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bookmarkStart w:id="0" w:name="n1171"/>
            <w:bookmarkEnd w:id="0"/>
            <w:r w:rsidRPr="00424562">
              <w:rPr>
                <w:color w:val="000000"/>
              </w:rPr>
              <w:t>2) резюме</w:t>
            </w:r>
            <w:r>
              <w:rPr>
                <w:color w:val="000000"/>
              </w:rPr>
              <w:t>,</w:t>
            </w:r>
            <w:r w:rsidRPr="00424562">
              <w:rPr>
                <w:color w:val="000000"/>
              </w:rPr>
              <w:t xml:space="preserve"> в якому обов’язково зазначається така інформація:</w:t>
            </w:r>
          </w:p>
          <w:p w:rsidR="004B7CD3" w:rsidRPr="00424562" w:rsidRDefault="004B7CD3" w:rsidP="00F254E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</w:rPr>
            </w:pPr>
            <w:bookmarkStart w:id="1" w:name="n1172"/>
            <w:bookmarkEnd w:id="1"/>
            <w:r w:rsidRPr="00424562">
              <w:rPr>
                <w:color w:val="000000"/>
              </w:rPr>
              <w:t>прізвище, ім’я, по батькові кандидата;</w:t>
            </w:r>
          </w:p>
          <w:p w:rsidR="004B7CD3" w:rsidRPr="00424562" w:rsidRDefault="004B7CD3" w:rsidP="00F254E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</w:rPr>
            </w:pPr>
            <w:bookmarkStart w:id="2" w:name="n1173"/>
            <w:bookmarkEnd w:id="2"/>
            <w:r w:rsidRPr="00424562">
              <w:rPr>
                <w:color w:val="000000"/>
              </w:rPr>
              <w:t>реквізити документа, що посвідчує особу та підтверджує громадянство України;</w:t>
            </w:r>
          </w:p>
          <w:p w:rsidR="004B7CD3" w:rsidRPr="00424562" w:rsidRDefault="004B7CD3" w:rsidP="00F254E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</w:rPr>
            </w:pPr>
            <w:bookmarkStart w:id="3" w:name="n1174"/>
            <w:bookmarkEnd w:id="3"/>
            <w:r w:rsidRPr="00424562">
              <w:rPr>
                <w:color w:val="000000"/>
              </w:rPr>
              <w:t>підтвердження наявності відповідного ступеня вищої освіти;</w:t>
            </w:r>
          </w:p>
          <w:p w:rsidR="004B7CD3" w:rsidRPr="00424562" w:rsidRDefault="004B7CD3" w:rsidP="00F254E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</w:rPr>
            </w:pPr>
            <w:bookmarkStart w:id="4" w:name="n1175"/>
            <w:bookmarkEnd w:id="4"/>
            <w:r w:rsidRPr="00424562">
              <w:rPr>
                <w:color w:val="000000"/>
              </w:rPr>
              <w:t>підтвердження рівня вільного володіння державною мовою;</w:t>
            </w:r>
          </w:p>
          <w:p w:rsidR="004B7CD3" w:rsidRDefault="004B7CD3" w:rsidP="00F254E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</w:rPr>
            </w:pPr>
            <w:bookmarkStart w:id="5" w:name="n1176"/>
            <w:bookmarkEnd w:id="5"/>
            <w:r w:rsidRPr="00424562">
              <w:rPr>
                <w:color w:val="000000"/>
              </w:rPr>
              <w:t xml:space="preserve">відомості про стаж роботи, стаж державної служби (за наявності), досвід роботи на відповідних </w:t>
            </w:r>
            <w:r>
              <w:rPr>
                <w:color w:val="000000"/>
              </w:rPr>
              <w:t xml:space="preserve">  </w:t>
            </w:r>
          </w:p>
          <w:p w:rsidR="004B7CD3" w:rsidRPr="00424562" w:rsidRDefault="004B7CD3" w:rsidP="00F254E5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color w:val="000000"/>
              </w:rPr>
            </w:pPr>
            <w:r w:rsidRPr="00424562">
              <w:rPr>
                <w:color w:val="000000"/>
              </w:rPr>
              <w:t>посадах;</w:t>
            </w:r>
          </w:p>
          <w:p w:rsidR="004B7CD3" w:rsidRPr="00424562" w:rsidRDefault="004B7CD3" w:rsidP="00F254E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bookmarkStart w:id="6" w:name="n1177"/>
            <w:bookmarkEnd w:id="6"/>
            <w:r w:rsidRPr="00424562">
              <w:rPr>
                <w:color w:val="000000"/>
              </w:rPr>
              <w:t>3)</w:t>
            </w:r>
            <w:r>
              <w:rPr>
                <w:color w:val="000000"/>
              </w:rPr>
              <w:t xml:space="preserve"> </w:t>
            </w:r>
            <w:r w:rsidRPr="00424562">
              <w:rPr>
                <w:color w:val="000000"/>
              </w:rPr>
              <w:t>заяву, в якій повідомляє, що до неї не застосовуються заборони, визначені частиною </w:t>
            </w:r>
            <w:hyperlink r:id="rId5" w:anchor="n13" w:tgtFrame="_blank" w:history="1">
              <w:r w:rsidRPr="00424562">
                <w:rPr>
                  <w:rStyle w:val="a5"/>
                </w:rPr>
                <w:t>третьою</w:t>
              </w:r>
            </w:hyperlink>
            <w:r w:rsidRPr="00424562">
              <w:t> або </w:t>
            </w:r>
            <w:hyperlink r:id="rId6" w:anchor="n14" w:tgtFrame="_blank" w:history="1">
              <w:r w:rsidRPr="00424562">
                <w:rPr>
                  <w:rStyle w:val="a5"/>
                </w:rPr>
                <w:t>четвертою</w:t>
              </w:r>
            </w:hyperlink>
            <w:r w:rsidRPr="00424562">
              <w:rPr>
                <w:color w:val="000000"/>
              </w:rPr>
              <w:t xml:space="preserve"> статті 1 Закону України </w:t>
            </w:r>
            <w:r w:rsidR="0083114F">
              <w:rPr>
                <w:color w:val="000000"/>
              </w:rPr>
              <w:t>«</w:t>
            </w:r>
            <w:r w:rsidRPr="00424562">
              <w:rPr>
                <w:color w:val="000000"/>
              </w:rPr>
              <w:t>Про очищення влади</w:t>
            </w:r>
            <w:r w:rsidR="0083114F">
              <w:rPr>
                <w:color w:val="000000"/>
              </w:rPr>
              <w:t>»</w:t>
            </w:r>
            <w:r w:rsidRPr="00424562">
              <w:rPr>
                <w:color w:val="000000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color w:val="000000"/>
              </w:rPr>
              <w:t>.</w:t>
            </w:r>
          </w:p>
          <w:p w:rsidR="004B7CD3" w:rsidRPr="00C6384A" w:rsidRDefault="004B7CD3" w:rsidP="00F254E5">
            <w:pPr>
              <w:pStyle w:val="a4"/>
              <w:ind w:firstLine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6384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C6384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компетентностей</w:t>
            </w:r>
            <w:proofErr w:type="spellEnd"/>
            <w:r w:rsidRPr="00C6384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, репутації (характеристики, рекомендації, наукові публікації тощо).</w:t>
            </w:r>
          </w:p>
          <w:p w:rsidR="004B7CD3" w:rsidRPr="00BF4BEF" w:rsidRDefault="004B7CD3" w:rsidP="00F254E5">
            <w:pPr>
              <w:jc w:val="both"/>
              <w:rPr>
                <w:color w:val="000000"/>
                <w:shd w:val="clear" w:color="auto" w:fill="FFFFFF"/>
              </w:rPr>
            </w:pPr>
            <w:r w:rsidRPr="00BF4BEF">
              <w:rPr>
                <w:color w:val="000000"/>
                <w:shd w:val="clear" w:color="auto" w:fill="FFFFFF"/>
              </w:rPr>
              <w:t>На електронні документи, що подаються для участі у доб</w:t>
            </w:r>
            <w:r>
              <w:rPr>
                <w:color w:val="000000"/>
                <w:shd w:val="clear" w:color="auto" w:fill="FFFFFF"/>
              </w:rPr>
              <w:t>о</w:t>
            </w:r>
            <w:r w:rsidRPr="00BF4BEF">
              <w:rPr>
                <w:color w:val="000000"/>
                <w:shd w:val="clear" w:color="auto" w:fill="FFFFFF"/>
              </w:rPr>
              <w:t>рі, накладається кваліфікований електронний підпис особи, яка бажає взяти участь у доборі.</w:t>
            </w:r>
          </w:p>
          <w:p w:rsidR="004B7CD3" w:rsidRPr="00900A36" w:rsidRDefault="004B7CD3" w:rsidP="00E637C0">
            <w:pPr>
              <w:pStyle w:val="a4"/>
              <w:spacing w:before="0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034F20">
              <w:rPr>
                <w:rFonts w:ascii="Times New Roman" w:hAnsi="Times New Roman"/>
                <w:sz w:val="24"/>
                <w:szCs w:val="24"/>
              </w:rPr>
              <w:t>Інформаці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034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участі у доборі приймається до </w:t>
            </w:r>
            <w:r w:rsidR="00E637C0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 00 хв. </w:t>
            </w:r>
            <w:r w:rsidR="00E637C0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37C0">
              <w:rPr>
                <w:rFonts w:ascii="Times New Roman" w:hAnsi="Times New Roman"/>
                <w:sz w:val="24"/>
                <w:szCs w:val="24"/>
              </w:rPr>
              <w:t>січня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E637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року </w:t>
            </w:r>
            <w:r w:rsidRPr="00034F20">
              <w:rPr>
                <w:rFonts w:ascii="Times New Roman" w:hAnsi="Times New Roman"/>
                <w:sz w:val="24"/>
                <w:szCs w:val="24"/>
              </w:rPr>
              <w:t>через Єдиний портал вакансій державної служби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34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5750D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https://career.gov.ua/</w:t>
            </w:r>
          </w:p>
        </w:tc>
      </w:tr>
      <w:tr w:rsidR="004B7CD3" w:rsidTr="00F254E5">
        <w:tc>
          <w:tcPr>
            <w:tcW w:w="3708" w:type="dxa"/>
            <w:shd w:val="clear" w:color="auto" w:fill="auto"/>
          </w:tcPr>
          <w:p w:rsidR="004B7CD3" w:rsidRPr="00AC750A" w:rsidRDefault="004B7CD3" w:rsidP="00F254E5">
            <w:pPr>
              <w:jc w:val="both"/>
              <w:rPr>
                <w:b/>
              </w:rPr>
            </w:pPr>
            <w:r w:rsidRPr="00AC750A">
              <w:rPr>
                <w:b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>
              <w:rPr>
                <w:b/>
              </w:rPr>
              <w:t>добору</w:t>
            </w:r>
          </w:p>
        </w:tc>
        <w:tc>
          <w:tcPr>
            <w:tcW w:w="11284" w:type="dxa"/>
            <w:shd w:val="clear" w:color="auto" w:fill="auto"/>
          </w:tcPr>
          <w:p w:rsidR="004B7CD3" w:rsidRDefault="008C6507" w:rsidP="00F254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Дуда</w:t>
            </w:r>
            <w:r w:rsidR="00277748">
              <w:rPr>
                <w:color w:val="000000"/>
              </w:rPr>
              <w:t xml:space="preserve"> Людмила </w:t>
            </w:r>
            <w:proofErr w:type="spellStart"/>
            <w:r w:rsidR="00277748">
              <w:rPr>
                <w:color w:val="000000"/>
              </w:rPr>
              <w:t>Кімівна</w:t>
            </w:r>
            <w:proofErr w:type="spellEnd"/>
          </w:p>
          <w:p w:rsidR="004B7CD3" w:rsidRDefault="008C6507" w:rsidP="00F254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77748">
              <w:rPr>
                <w:color w:val="000000"/>
              </w:rPr>
              <w:t>97 639 70 58</w:t>
            </w:r>
            <w:r w:rsidR="004B7CD3" w:rsidRPr="003F6A0D">
              <w:rPr>
                <w:color w:val="000000"/>
              </w:rPr>
              <w:t xml:space="preserve"> </w:t>
            </w:r>
          </w:p>
          <w:p w:rsidR="008C6507" w:rsidRPr="00002619" w:rsidRDefault="008C6507" w:rsidP="008C6507">
            <w:pPr>
              <w:rPr>
                <w:sz w:val="21"/>
                <w:szCs w:val="21"/>
              </w:rPr>
            </w:pPr>
            <w:r w:rsidRPr="00002619">
              <w:rPr>
                <w:sz w:val="21"/>
                <w:szCs w:val="21"/>
              </w:rPr>
              <w:t>inbox@tea.court.gov.ua</w:t>
            </w:r>
          </w:p>
          <w:p w:rsidR="004B7CD3" w:rsidRDefault="004B7CD3" w:rsidP="00F254E5">
            <w:pPr>
              <w:jc w:val="both"/>
            </w:pPr>
          </w:p>
        </w:tc>
      </w:tr>
      <w:tr w:rsidR="004B7CD3" w:rsidTr="00F254E5">
        <w:tc>
          <w:tcPr>
            <w:tcW w:w="14992" w:type="dxa"/>
            <w:gridSpan w:val="2"/>
            <w:shd w:val="clear" w:color="auto" w:fill="auto"/>
          </w:tcPr>
          <w:p w:rsidR="004B7CD3" w:rsidRPr="00AC750A" w:rsidRDefault="004B7CD3" w:rsidP="00F254E5">
            <w:pPr>
              <w:jc w:val="center"/>
              <w:rPr>
                <w:b/>
              </w:rPr>
            </w:pPr>
            <w:r w:rsidRPr="00AC750A">
              <w:rPr>
                <w:b/>
              </w:rPr>
              <w:t>Кваліфікаційні вимоги</w:t>
            </w:r>
          </w:p>
        </w:tc>
      </w:tr>
      <w:tr w:rsidR="004B7CD3" w:rsidTr="00F254E5">
        <w:tc>
          <w:tcPr>
            <w:tcW w:w="3708" w:type="dxa"/>
            <w:shd w:val="clear" w:color="auto" w:fill="auto"/>
          </w:tcPr>
          <w:p w:rsidR="004B7CD3" w:rsidRPr="00AC750A" w:rsidRDefault="001D1BCF" w:rsidP="00F254E5">
            <w:pPr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="004B7CD3" w:rsidRPr="00AC750A">
              <w:rPr>
                <w:b/>
              </w:rPr>
              <w:t xml:space="preserve">Освіта </w:t>
            </w:r>
          </w:p>
        </w:tc>
        <w:tc>
          <w:tcPr>
            <w:tcW w:w="11284" w:type="dxa"/>
            <w:shd w:val="clear" w:color="auto" w:fill="auto"/>
          </w:tcPr>
          <w:p w:rsidR="004B7CD3" w:rsidRPr="00F42C8D" w:rsidRDefault="00F254E5" w:rsidP="00F254E5">
            <w:pPr>
              <w:jc w:val="both"/>
            </w:pPr>
            <w:r w:rsidRPr="00C92A4A">
              <w:t xml:space="preserve">вища, за освітнім </w:t>
            </w:r>
            <w:r w:rsidRPr="00C92A4A">
              <w:rPr>
                <w:color w:val="000000"/>
              </w:rPr>
              <w:t>ступенем бакалавра</w:t>
            </w:r>
            <w:r w:rsidRPr="00C92A4A">
              <w:t xml:space="preserve"> в галузі </w:t>
            </w:r>
            <w:r w:rsidRPr="00C92A4A">
              <w:rPr>
                <w:rStyle w:val="FontStyle15"/>
              </w:rPr>
              <w:t xml:space="preserve">знань «Право» </w:t>
            </w:r>
            <w:r w:rsidRPr="00C92A4A">
              <w:t xml:space="preserve">  («Правознавство»)    </w:t>
            </w:r>
          </w:p>
        </w:tc>
      </w:tr>
      <w:tr w:rsidR="004B7CD3" w:rsidTr="00F254E5">
        <w:tc>
          <w:tcPr>
            <w:tcW w:w="3708" w:type="dxa"/>
            <w:shd w:val="clear" w:color="auto" w:fill="auto"/>
          </w:tcPr>
          <w:p w:rsidR="004B7CD3" w:rsidRPr="00AC750A" w:rsidRDefault="001D1BCF" w:rsidP="00F254E5">
            <w:pPr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="004B7CD3" w:rsidRPr="00AC750A">
              <w:rPr>
                <w:b/>
              </w:rPr>
              <w:t xml:space="preserve">Досвід роботи </w:t>
            </w:r>
          </w:p>
        </w:tc>
        <w:tc>
          <w:tcPr>
            <w:tcW w:w="11284" w:type="dxa"/>
            <w:shd w:val="clear" w:color="auto" w:fill="auto"/>
          </w:tcPr>
          <w:p w:rsidR="004B7CD3" w:rsidRPr="00FC16FA" w:rsidRDefault="004B7CD3" w:rsidP="00F254E5">
            <w:pPr>
              <w:jc w:val="both"/>
            </w:pPr>
            <w:r>
              <w:rPr>
                <w:color w:val="000000"/>
              </w:rPr>
              <w:t>без вимог</w:t>
            </w:r>
          </w:p>
        </w:tc>
      </w:tr>
      <w:tr w:rsidR="004B7CD3" w:rsidTr="00F254E5">
        <w:tc>
          <w:tcPr>
            <w:tcW w:w="3708" w:type="dxa"/>
            <w:shd w:val="clear" w:color="auto" w:fill="auto"/>
          </w:tcPr>
          <w:p w:rsidR="004B7CD3" w:rsidRPr="00AC750A" w:rsidRDefault="001D1BCF" w:rsidP="00F254E5">
            <w:pPr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="004B7CD3" w:rsidRPr="00AC750A">
              <w:rPr>
                <w:b/>
              </w:rPr>
              <w:t>Володіння державною мовою</w:t>
            </w:r>
          </w:p>
        </w:tc>
        <w:tc>
          <w:tcPr>
            <w:tcW w:w="11284" w:type="dxa"/>
            <w:shd w:val="clear" w:color="auto" w:fill="auto"/>
          </w:tcPr>
          <w:p w:rsidR="004B7CD3" w:rsidRPr="003F6A0D" w:rsidRDefault="005361C4" w:rsidP="00F254E5">
            <w:pPr>
              <w:pStyle w:val="a4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F254E5">
              <w:rPr>
                <w:rFonts w:ascii="Times New Roman" w:hAnsi="Times New Roman"/>
                <w:color w:val="000000"/>
                <w:sz w:val="24"/>
                <w:szCs w:val="24"/>
              </w:rPr>
              <w:t>ільне володіння державною мовою</w:t>
            </w:r>
          </w:p>
        </w:tc>
      </w:tr>
      <w:tr w:rsidR="004B7CD3" w:rsidTr="00F254E5">
        <w:tc>
          <w:tcPr>
            <w:tcW w:w="14992" w:type="dxa"/>
            <w:gridSpan w:val="2"/>
            <w:shd w:val="clear" w:color="auto" w:fill="auto"/>
          </w:tcPr>
          <w:p w:rsidR="004B7CD3" w:rsidRPr="00AC750A" w:rsidRDefault="004B7CD3" w:rsidP="00F254E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Вимоги до компетентності</w:t>
            </w:r>
          </w:p>
        </w:tc>
      </w:tr>
      <w:tr w:rsidR="004B7CD3" w:rsidTr="00F254E5">
        <w:tc>
          <w:tcPr>
            <w:tcW w:w="3708" w:type="dxa"/>
            <w:shd w:val="clear" w:color="auto" w:fill="auto"/>
          </w:tcPr>
          <w:p w:rsidR="004B7CD3" w:rsidRPr="00FD31CD" w:rsidRDefault="004B7CD3" w:rsidP="00F254E5">
            <w:pPr>
              <w:jc w:val="center"/>
              <w:rPr>
                <w:b/>
              </w:rPr>
            </w:pPr>
            <w:r w:rsidRPr="00FD31CD">
              <w:rPr>
                <w:b/>
              </w:rPr>
              <w:t>Вимога</w:t>
            </w:r>
          </w:p>
        </w:tc>
        <w:tc>
          <w:tcPr>
            <w:tcW w:w="11284" w:type="dxa"/>
            <w:shd w:val="clear" w:color="auto" w:fill="auto"/>
          </w:tcPr>
          <w:p w:rsidR="004B7CD3" w:rsidRPr="00FD31CD" w:rsidRDefault="004B7CD3" w:rsidP="00F254E5">
            <w:pPr>
              <w:tabs>
                <w:tab w:val="left" w:pos="462"/>
              </w:tabs>
              <w:jc w:val="center"/>
              <w:rPr>
                <w:b/>
              </w:rPr>
            </w:pPr>
            <w:r w:rsidRPr="00FD31CD">
              <w:rPr>
                <w:b/>
              </w:rPr>
              <w:t>Компоненти вимоги</w:t>
            </w:r>
          </w:p>
        </w:tc>
      </w:tr>
      <w:tr w:rsidR="004B7CD3" w:rsidTr="00F254E5">
        <w:tc>
          <w:tcPr>
            <w:tcW w:w="3708" w:type="dxa"/>
            <w:shd w:val="clear" w:color="auto" w:fill="auto"/>
          </w:tcPr>
          <w:p w:rsidR="004B7CD3" w:rsidRPr="004D6145" w:rsidRDefault="001D1BCF" w:rsidP="00F254E5">
            <w:pPr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="004B7CD3" w:rsidRPr="004D6145">
              <w:rPr>
                <w:b/>
              </w:rPr>
              <w:t>Уміння працювати з комп'ютером</w:t>
            </w:r>
          </w:p>
        </w:tc>
        <w:tc>
          <w:tcPr>
            <w:tcW w:w="11284" w:type="dxa"/>
            <w:shd w:val="clear" w:color="auto" w:fill="auto"/>
          </w:tcPr>
          <w:p w:rsidR="004B7CD3" w:rsidRPr="004D6145" w:rsidRDefault="004B7CD3" w:rsidP="00F254E5">
            <w:pPr>
              <w:tabs>
                <w:tab w:val="left" w:pos="545"/>
              </w:tabs>
              <w:jc w:val="both"/>
            </w:pPr>
            <w:r>
              <w:t xml:space="preserve">Вміння </w:t>
            </w:r>
            <w:r w:rsidRPr="004D6145">
              <w:t>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4B7CD3" w:rsidTr="00F254E5">
        <w:tc>
          <w:tcPr>
            <w:tcW w:w="3708" w:type="dxa"/>
            <w:shd w:val="clear" w:color="auto" w:fill="auto"/>
          </w:tcPr>
          <w:p w:rsidR="004B7CD3" w:rsidRPr="004D6145" w:rsidRDefault="001D1BCF" w:rsidP="00F254E5">
            <w:pPr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="004B7CD3" w:rsidRPr="004D6145">
              <w:rPr>
                <w:b/>
              </w:rPr>
              <w:t>Необхідні ділові якості</w:t>
            </w:r>
          </w:p>
        </w:tc>
        <w:tc>
          <w:tcPr>
            <w:tcW w:w="11284" w:type="dxa"/>
            <w:shd w:val="clear" w:color="auto" w:fill="auto"/>
          </w:tcPr>
          <w:p w:rsidR="004B7CD3" w:rsidRPr="004D6145" w:rsidRDefault="00F254E5" w:rsidP="003D0D34">
            <w:pPr>
              <w:numPr>
                <w:ilvl w:val="0"/>
                <w:numId w:val="3"/>
              </w:numPr>
              <w:tabs>
                <w:tab w:val="left" w:pos="545"/>
              </w:tabs>
              <w:ind w:left="120" w:hanging="22"/>
              <w:jc w:val="both"/>
            </w:pPr>
            <w:r>
              <w:t>оперативність</w:t>
            </w:r>
            <w:r w:rsidR="004B7CD3" w:rsidRPr="004D6145">
              <w:t>;</w:t>
            </w:r>
          </w:p>
          <w:p w:rsidR="004B7CD3" w:rsidRPr="004D6145" w:rsidRDefault="004B7CD3" w:rsidP="003D0D34">
            <w:pPr>
              <w:numPr>
                <w:ilvl w:val="0"/>
                <w:numId w:val="3"/>
              </w:numPr>
              <w:tabs>
                <w:tab w:val="left" w:pos="545"/>
              </w:tabs>
              <w:ind w:left="120" w:hanging="22"/>
              <w:jc w:val="both"/>
            </w:pPr>
            <w:r w:rsidRPr="004D6145">
              <w:t xml:space="preserve">вміння </w:t>
            </w:r>
            <w:r w:rsidR="00F254E5">
              <w:t>розподіляти роботу</w:t>
            </w:r>
            <w:r w:rsidRPr="004D6145">
              <w:t>;</w:t>
            </w:r>
          </w:p>
          <w:p w:rsidR="004B7CD3" w:rsidRPr="004D6145" w:rsidRDefault="00F254E5" w:rsidP="003D0D34">
            <w:pPr>
              <w:numPr>
                <w:ilvl w:val="0"/>
                <w:numId w:val="3"/>
              </w:numPr>
              <w:tabs>
                <w:tab w:val="left" w:pos="545"/>
              </w:tabs>
              <w:ind w:left="120" w:hanging="22"/>
              <w:jc w:val="both"/>
            </w:pPr>
            <w:r>
              <w:t>навички контролю</w:t>
            </w:r>
          </w:p>
        </w:tc>
      </w:tr>
      <w:tr w:rsidR="004B7CD3" w:rsidTr="00F254E5">
        <w:tc>
          <w:tcPr>
            <w:tcW w:w="3708" w:type="dxa"/>
            <w:shd w:val="clear" w:color="auto" w:fill="auto"/>
          </w:tcPr>
          <w:p w:rsidR="004B7CD3" w:rsidRPr="00C763B8" w:rsidRDefault="001D1BCF" w:rsidP="00F254E5">
            <w:pPr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="004B7CD3">
              <w:rPr>
                <w:b/>
              </w:rPr>
              <w:t>Необхідні особисті якості</w:t>
            </w:r>
          </w:p>
        </w:tc>
        <w:tc>
          <w:tcPr>
            <w:tcW w:w="11284" w:type="dxa"/>
            <w:shd w:val="clear" w:color="auto" w:fill="auto"/>
          </w:tcPr>
          <w:p w:rsidR="004B7CD3" w:rsidRPr="00C763B8" w:rsidRDefault="001D1BCF" w:rsidP="001D1BCF">
            <w:pPr>
              <w:tabs>
                <w:tab w:val="left" w:pos="545"/>
              </w:tabs>
              <w:jc w:val="both"/>
            </w:pPr>
            <w:r>
              <w:t xml:space="preserve"> 1)     </w:t>
            </w:r>
            <w:r w:rsidR="004B7CD3" w:rsidRPr="00C763B8">
              <w:t>відповідальність;</w:t>
            </w:r>
          </w:p>
          <w:p w:rsidR="004B7CD3" w:rsidRPr="00C763B8" w:rsidRDefault="001D1BCF" w:rsidP="001D1BCF">
            <w:pPr>
              <w:tabs>
                <w:tab w:val="left" w:pos="545"/>
              </w:tabs>
              <w:jc w:val="both"/>
            </w:pPr>
            <w:r>
              <w:t xml:space="preserve"> 2)    </w:t>
            </w:r>
            <w:r w:rsidR="004B7CD3" w:rsidRPr="00C763B8">
              <w:t>уважність до деталей;</w:t>
            </w:r>
          </w:p>
          <w:p w:rsidR="004B7CD3" w:rsidRPr="00C763B8" w:rsidRDefault="001D1BCF" w:rsidP="001D1BCF">
            <w:pPr>
              <w:tabs>
                <w:tab w:val="left" w:pos="545"/>
              </w:tabs>
              <w:jc w:val="both"/>
            </w:pPr>
            <w:r>
              <w:t xml:space="preserve"> 3)    </w:t>
            </w:r>
            <w:r w:rsidR="004B7CD3" w:rsidRPr="00C763B8">
              <w:t>орієнтація на саморозвиток;</w:t>
            </w:r>
          </w:p>
          <w:p w:rsidR="004B7CD3" w:rsidRDefault="001D1BCF" w:rsidP="001D1BCF">
            <w:pPr>
              <w:tabs>
                <w:tab w:val="left" w:pos="545"/>
              </w:tabs>
              <w:jc w:val="both"/>
            </w:pPr>
            <w:r>
              <w:t xml:space="preserve"> 4)    </w:t>
            </w:r>
            <w:r w:rsidR="004B7CD3" w:rsidRPr="00C763B8">
              <w:t>вміння працювати в стресових ситуаціях</w:t>
            </w:r>
            <w:r w:rsidR="00F254E5">
              <w:t>;</w:t>
            </w:r>
          </w:p>
          <w:p w:rsidR="004B7CD3" w:rsidRPr="00C763B8" w:rsidRDefault="001D1BCF" w:rsidP="001D1BCF">
            <w:pPr>
              <w:tabs>
                <w:tab w:val="left" w:pos="545"/>
              </w:tabs>
              <w:jc w:val="both"/>
            </w:pPr>
            <w:r>
              <w:t xml:space="preserve"> 5)    </w:t>
            </w:r>
            <w:r w:rsidR="00F254E5">
              <w:t xml:space="preserve">пунктуальність </w:t>
            </w:r>
          </w:p>
        </w:tc>
      </w:tr>
      <w:tr w:rsidR="004B7CD3" w:rsidTr="00F254E5">
        <w:tc>
          <w:tcPr>
            <w:tcW w:w="14992" w:type="dxa"/>
            <w:gridSpan w:val="2"/>
            <w:shd w:val="clear" w:color="auto" w:fill="auto"/>
          </w:tcPr>
          <w:p w:rsidR="004B7CD3" w:rsidRPr="00900A36" w:rsidRDefault="004B7CD3" w:rsidP="00F254E5">
            <w:pPr>
              <w:jc w:val="center"/>
              <w:rPr>
                <w:b/>
              </w:rPr>
            </w:pPr>
            <w:r w:rsidRPr="00900A36">
              <w:rPr>
                <w:b/>
              </w:rPr>
              <w:t>Професійні знання</w:t>
            </w:r>
          </w:p>
        </w:tc>
      </w:tr>
      <w:tr w:rsidR="004B7CD3" w:rsidRPr="00FD31CD" w:rsidTr="00F254E5">
        <w:tc>
          <w:tcPr>
            <w:tcW w:w="3708" w:type="dxa"/>
            <w:shd w:val="clear" w:color="auto" w:fill="auto"/>
          </w:tcPr>
          <w:p w:rsidR="004B7CD3" w:rsidRPr="00FD31CD" w:rsidRDefault="004B7CD3" w:rsidP="00F254E5">
            <w:pPr>
              <w:jc w:val="center"/>
              <w:rPr>
                <w:b/>
              </w:rPr>
            </w:pPr>
            <w:r w:rsidRPr="00FD31CD">
              <w:rPr>
                <w:b/>
              </w:rPr>
              <w:t>Вимога</w:t>
            </w:r>
          </w:p>
        </w:tc>
        <w:tc>
          <w:tcPr>
            <w:tcW w:w="11284" w:type="dxa"/>
            <w:shd w:val="clear" w:color="auto" w:fill="auto"/>
          </w:tcPr>
          <w:p w:rsidR="004B7CD3" w:rsidRPr="00FD31CD" w:rsidRDefault="004B7CD3" w:rsidP="00F254E5">
            <w:pPr>
              <w:tabs>
                <w:tab w:val="left" w:pos="462"/>
              </w:tabs>
              <w:jc w:val="center"/>
              <w:rPr>
                <w:b/>
              </w:rPr>
            </w:pPr>
            <w:r w:rsidRPr="00FD31CD">
              <w:rPr>
                <w:b/>
              </w:rPr>
              <w:t>Компоненти вимоги</w:t>
            </w:r>
          </w:p>
        </w:tc>
      </w:tr>
      <w:tr w:rsidR="004B7CD3" w:rsidTr="00F254E5">
        <w:tc>
          <w:tcPr>
            <w:tcW w:w="3708" w:type="dxa"/>
            <w:shd w:val="clear" w:color="auto" w:fill="auto"/>
          </w:tcPr>
          <w:p w:rsidR="004B7CD3" w:rsidRPr="00AC750A" w:rsidRDefault="00700EC1" w:rsidP="00F254E5">
            <w:pPr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="004B7CD3" w:rsidRPr="00AC750A">
              <w:rPr>
                <w:b/>
              </w:rPr>
              <w:t>Знання законодавства</w:t>
            </w:r>
          </w:p>
        </w:tc>
        <w:tc>
          <w:tcPr>
            <w:tcW w:w="11284" w:type="dxa"/>
            <w:shd w:val="clear" w:color="auto" w:fill="auto"/>
          </w:tcPr>
          <w:p w:rsidR="004B7CD3" w:rsidRDefault="004B7CD3" w:rsidP="00F254E5">
            <w:pPr>
              <w:tabs>
                <w:tab w:val="left" w:pos="462"/>
              </w:tabs>
            </w:pPr>
            <w:r>
              <w:t>Знання:</w:t>
            </w:r>
          </w:p>
          <w:p w:rsidR="004B7CD3" w:rsidRPr="00404301" w:rsidRDefault="004B7CD3" w:rsidP="00FD6DA8">
            <w:pPr>
              <w:tabs>
                <w:tab w:val="left" w:pos="462"/>
              </w:tabs>
              <w:ind w:left="120"/>
            </w:pPr>
            <w:r w:rsidRPr="00404301">
              <w:t>Конституці</w:t>
            </w:r>
            <w:r>
              <w:t>ї</w:t>
            </w:r>
            <w:r w:rsidR="00FD6DA8">
              <w:t xml:space="preserve"> України; </w:t>
            </w:r>
            <w:r w:rsidR="00FD6DA8">
              <w:br/>
            </w:r>
            <w:r w:rsidRPr="00404301">
              <w:t>Закон</w:t>
            </w:r>
            <w:r>
              <w:t>у</w:t>
            </w:r>
            <w:r w:rsidRPr="00404301">
              <w:t xml:space="preserve"> України «</w:t>
            </w:r>
            <w:r w:rsidR="00FD6DA8">
              <w:t xml:space="preserve">Про державну службу»; </w:t>
            </w:r>
            <w:r w:rsidR="00FD6DA8">
              <w:br/>
            </w:r>
            <w:r w:rsidRPr="00404301">
              <w:t>Закон</w:t>
            </w:r>
            <w:r>
              <w:t>у</w:t>
            </w:r>
            <w:r w:rsidRPr="00404301">
              <w:t xml:space="preserve"> України «Про запобігання </w:t>
            </w:r>
            <w:r>
              <w:t>корупції»</w:t>
            </w:r>
          </w:p>
        </w:tc>
      </w:tr>
      <w:tr w:rsidR="004B7CD3" w:rsidTr="00F254E5">
        <w:tc>
          <w:tcPr>
            <w:tcW w:w="3708" w:type="dxa"/>
            <w:shd w:val="clear" w:color="auto" w:fill="auto"/>
          </w:tcPr>
          <w:p w:rsidR="004B7CD3" w:rsidRPr="00AC750A" w:rsidRDefault="00700EC1" w:rsidP="00F254E5">
            <w:pPr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="004B7CD3" w:rsidRPr="00AC750A">
              <w:rPr>
                <w:b/>
              </w:rPr>
              <w:t xml:space="preserve">Знання спеціального    </w:t>
            </w:r>
          </w:p>
          <w:p w:rsidR="004B7CD3" w:rsidRPr="00AC750A" w:rsidRDefault="004B7CD3" w:rsidP="00F254E5">
            <w:pPr>
              <w:jc w:val="both"/>
              <w:rPr>
                <w:b/>
              </w:rPr>
            </w:pPr>
            <w:r w:rsidRPr="00AC750A">
              <w:rPr>
                <w:b/>
              </w:rPr>
              <w:t>законодавства, що пов’язане із завданнями та змістом роботи державного службовця</w:t>
            </w:r>
          </w:p>
          <w:p w:rsidR="004B7CD3" w:rsidRPr="00AC750A" w:rsidRDefault="004B7CD3" w:rsidP="00F254E5">
            <w:pPr>
              <w:jc w:val="both"/>
              <w:rPr>
                <w:b/>
              </w:rPr>
            </w:pPr>
            <w:r w:rsidRPr="00AC750A">
              <w:rPr>
                <w:b/>
              </w:rPr>
              <w:t>відповідно до посадової</w:t>
            </w:r>
          </w:p>
          <w:p w:rsidR="004B7CD3" w:rsidRPr="00AC750A" w:rsidRDefault="004B7CD3" w:rsidP="00F254E5">
            <w:pPr>
              <w:jc w:val="both"/>
              <w:rPr>
                <w:b/>
              </w:rPr>
            </w:pPr>
            <w:r w:rsidRPr="00AC750A">
              <w:rPr>
                <w:b/>
              </w:rPr>
              <w:t>інструкції (положення про</w:t>
            </w:r>
          </w:p>
          <w:p w:rsidR="004B7CD3" w:rsidRPr="00AC750A" w:rsidRDefault="004B7CD3" w:rsidP="00F254E5">
            <w:pPr>
              <w:jc w:val="both"/>
              <w:rPr>
                <w:b/>
              </w:rPr>
            </w:pPr>
            <w:r w:rsidRPr="00AC750A">
              <w:rPr>
                <w:b/>
              </w:rPr>
              <w:t>структурний підрозділ)</w:t>
            </w:r>
          </w:p>
        </w:tc>
        <w:tc>
          <w:tcPr>
            <w:tcW w:w="11284" w:type="dxa"/>
            <w:shd w:val="clear" w:color="auto" w:fill="auto"/>
          </w:tcPr>
          <w:p w:rsidR="004B7CD3" w:rsidRPr="001903A8" w:rsidRDefault="004B7CD3" w:rsidP="001903A8">
            <w:r w:rsidRPr="001903A8">
              <w:t>Знання:</w:t>
            </w:r>
          </w:p>
          <w:p w:rsidR="00814E9B" w:rsidRDefault="00814E9B" w:rsidP="00814E9B">
            <w:pPr>
              <w:ind w:right="141"/>
              <w:jc w:val="both"/>
              <w:textAlignment w:val="baseline"/>
            </w:pPr>
            <w:r w:rsidRPr="00633F20">
              <w:t xml:space="preserve">1) Закони України «Про судоустрій і статус суддів»; </w:t>
            </w:r>
          </w:p>
          <w:p w:rsidR="00814E9B" w:rsidRDefault="00814E9B" w:rsidP="00814E9B">
            <w:pPr>
              <w:ind w:right="141"/>
              <w:jc w:val="both"/>
              <w:textAlignment w:val="baseline"/>
            </w:pPr>
            <w:r>
              <w:t>2) Закон України «Про доступ до судових рішень»;</w:t>
            </w:r>
          </w:p>
          <w:p w:rsidR="00277748" w:rsidRPr="00633F20" w:rsidRDefault="00277748" w:rsidP="00814E9B">
            <w:pPr>
              <w:ind w:right="141"/>
              <w:jc w:val="both"/>
              <w:textAlignment w:val="baseline"/>
            </w:pPr>
            <w:r>
              <w:t>3</w:t>
            </w:r>
            <w:r w:rsidRPr="00814E9B">
              <w:t xml:space="preserve">) Інструкція з діловодства </w:t>
            </w:r>
            <w:r>
              <w:t xml:space="preserve">в </w:t>
            </w:r>
            <w:r w:rsidRPr="00814E9B">
              <w:t xml:space="preserve">місцевих </w:t>
            </w:r>
            <w:r>
              <w:t xml:space="preserve">та </w:t>
            </w:r>
            <w:r w:rsidRPr="00814E9B">
              <w:t xml:space="preserve"> апеляційних судах </w:t>
            </w:r>
            <w:r>
              <w:t>України;</w:t>
            </w:r>
          </w:p>
          <w:p w:rsidR="00814E9B" w:rsidRPr="00633F20" w:rsidRDefault="00277748" w:rsidP="00814E9B">
            <w:pPr>
              <w:ind w:right="141"/>
              <w:jc w:val="both"/>
              <w:textAlignment w:val="baseline"/>
              <w:rPr>
                <w:bCs/>
                <w:color w:val="000000" w:themeColor="text1"/>
              </w:rPr>
            </w:pPr>
            <w:r>
              <w:t>4</w:t>
            </w:r>
            <w:r w:rsidR="00814E9B" w:rsidRPr="00633F20">
              <w:t xml:space="preserve">) </w:t>
            </w:r>
            <w:r w:rsidR="00814E9B" w:rsidRPr="00633F20">
              <w:rPr>
                <w:bCs/>
                <w:color w:val="000000" w:themeColor="text1"/>
              </w:rPr>
              <w:t>Інструкція про порядок роботи з технічними засобами фіксування судового процесу (судового засідання);</w:t>
            </w:r>
          </w:p>
          <w:p w:rsidR="00814E9B" w:rsidRPr="00633F20" w:rsidRDefault="00277748" w:rsidP="00814E9B">
            <w:pPr>
              <w:ind w:right="141"/>
              <w:jc w:val="both"/>
              <w:textAlignment w:val="baseline"/>
              <w:rPr>
                <w:color w:val="000000"/>
              </w:rPr>
            </w:pPr>
            <w:r>
              <w:rPr>
                <w:bCs/>
                <w:color w:val="000000" w:themeColor="text1"/>
              </w:rPr>
              <w:t>5</w:t>
            </w:r>
            <w:r w:rsidR="00814E9B" w:rsidRPr="00633F20">
              <w:rPr>
                <w:bCs/>
                <w:color w:val="000000" w:themeColor="text1"/>
              </w:rPr>
              <w:t xml:space="preserve">) </w:t>
            </w:r>
            <w:r w:rsidR="00814E9B" w:rsidRPr="00633F20">
              <w:rPr>
                <w:color w:val="000000"/>
              </w:rPr>
              <w:t xml:space="preserve">Інструкція про порядок роботи з технічними засобами відеозапису ходу і результатів процесуальних дій, проведених у режимі </w:t>
            </w:r>
            <w:proofErr w:type="spellStart"/>
            <w:r w:rsidR="00814E9B" w:rsidRPr="00633F20">
              <w:rPr>
                <w:color w:val="000000"/>
              </w:rPr>
              <w:t>відеоконференції</w:t>
            </w:r>
            <w:proofErr w:type="spellEnd"/>
            <w:r w:rsidR="00814E9B" w:rsidRPr="00633F20">
              <w:rPr>
                <w:color w:val="000000"/>
              </w:rPr>
              <w:t xml:space="preserve"> під час судового засідання;</w:t>
            </w:r>
          </w:p>
          <w:p w:rsidR="004B7CD3" w:rsidRPr="00814E9B" w:rsidRDefault="00277748" w:rsidP="00277748">
            <w:r>
              <w:t>6) КПК України, ЦПК України</w:t>
            </w:r>
          </w:p>
        </w:tc>
      </w:tr>
    </w:tbl>
    <w:p w:rsidR="003D0D34" w:rsidRPr="00076664" w:rsidRDefault="003D0D34" w:rsidP="003D0D34">
      <w:pPr>
        <w:tabs>
          <w:tab w:val="left" w:pos="4223"/>
          <w:tab w:val="left" w:pos="4500"/>
        </w:tabs>
        <w:rPr>
          <w:sz w:val="2"/>
          <w:szCs w:val="2"/>
        </w:rPr>
      </w:pPr>
    </w:p>
    <w:p w:rsidR="005F140C" w:rsidRDefault="005F140C"/>
    <w:sectPr w:rsidR="005F140C" w:rsidSect="00F254E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B2DB9"/>
    <w:multiLevelType w:val="hybridMultilevel"/>
    <w:tmpl w:val="E81031AA"/>
    <w:lvl w:ilvl="0" w:tplc="AD1A2EA6">
      <w:start w:val="2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5B113BE"/>
    <w:multiLevelType w:val="hybridMultilevel"/>
    <w:tmpl w:val="448E6E58"/>
    <w:lvl w:ilvl="0" w:tplc="A532EF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2B52B3"/>
    <w:multiLevelType w:val="hybridMultilevel"/>
    <w:tmpl w:val="26145198"/>
    <w:lvl w:ilvl="0" w:tplc="0422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F6205"/>
    <w:multiLevelType w:val="hybridMultilevel"/>
    <w:tmpl w:val="0F6AD616"/>
    <w:lvl w:ilvl="0" w:tplc="F83E2614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41" w:hanging="360"/>
      </w:pPr>
    </w:lvl>
    <w:lvl w:ilvl="2" w:tplc="0422001B" w:tentative="1">
      <w:start w:val="1"/>
      <w:numFmt w:val="lowerRoman"/>
      <w:lvlText w:val="%3."/>
      <w:lvlJc w:val="right"/>
      <w:pPr>
        <w:ind w:left="2061" w:hanging="180"/>
      </w:pPr>
    </w:lvl>
    <w:lvl w:ilvl="3" w:tplc="0422000F" w:tentative="1">
      <w:start w:val="1"/>
      <w:numFmt w:val="decimal"/>
      <w:lvlText w:val="%4."/>
      <w:lvlJc w:val="left"/>
      <w:pPr>
        <w:ind w:left="2781" w:hanging="360"/>
      </w:pPr>
    </w:lvl>
    <w:lvl w:ilvl="4" w:tplc="04220019" w:tentative="1">
      <w:start w:val="1"/>
      <w:numFmt w:val="lowerLetter"/>
      <w:lvlText w:val="%5."/>
      <w:lvlJc w:val="left"/>
      <w:pPr>
        <w:ind w:left="3501" w:hanging="360"/>
      </w:pPr>
    </w:lvl>
    <w:lvl w:ilvl="5" w:tplc="0422001B" w:tentative="1">
      <w:start w:val="1"/>
      <w:numFmt w:val="lowerRoman"/>
      <w:lvlText w:val="%6."/>
      <w:lvlJc w:val="right"/>
      <w:pPr>
        <w:ind w:left="4221" w:hanging="180"/>
      </w:pPr>
    </w:lvl>
    <w:lvl w:ilvl="6" w:tplc="0422000F" w:tentative="1">
      <w:start w:val="1"/>
      <w:numFmt w:val="decimal"/>
      <w:lvlText w:val="%7."/>
      <w:lvlJc w:val="left"/>
      <w:pPr>
        <w:ind w:left="4941" w:hanging="360"/>
      </w:pPr>
    </w:lvl>
    <w:lvl w:ilvl="7" w:tplc="04220019" w:tentative="1">
      <w:start w:val="1"/>
      <w:numFmt w:val="lowerLetter"/>
      <w:lvlText w:val="%8."/>
      <w:lvlJc w:val="left"/>
      <w:pPr>
        <w:ind w:left="5661" w:hanging="360"/>
      </w:pPr>
    </w:lvl>
    <w:lvl w:ilvl="8" w:tplc="0422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4">
    <w:nsid w:val="52B645E5"/>
    <w:multiLevelType w:val="hybridMultilevel"/>
    <w:tmpl w:val="D8B6785C"/>
    <w:lvl w:ilvl="0" w:tplc="71BCCCCA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6A0F0FE0"/>
    <w:multiLevelType w:val="hybridMultilevel"/>
    <w:tmpl w:val="BB2295B2"/>
    <w:lvl w:ilvl="0" w:tplc="0422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87687"/>
    <w:multiLevelType w:val="hybridMultilevel"/>
    <w:tmpl w:val="DC287BD4"/>
    <w:lvl w:ilvl="0" w:tplc="9F24BBA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3D0D34"/>
    <w:rsid w:val="0017095F"/>
    <w:rsid w:val="001903A8"/>
    <w:rsid w:val="001D1BCF"/>
    <w:rsid w:val="00277748"/>
    <w:rsid w:val="003D0D34"/>
    <w:rsid w:val="004B7CD3"/>
    <w:rsid w:val="005361C4"/>
    <w:rsid w:val="005F140C"/>
    <w:rsid w:val="00692FF3"/>
    <w:rsid w:val="00700EC1"/>
    <w:rsid w:val="00814E9B"/>
    <w:rsid w:val="0083114F"/>
    <w:rsid w:val="00870A11"/>
    <w:rsid w:val="008A5D0D"/>
    <w:rsid w:val="008C6507"/>
    <w:rsid w:val="00945CA5"/>
    <w:rsid w:val="00A72B5D"/>
    <w:rsid w:val="00B14CC7"/>
    <w:rsid w:val="00B96589"/>
    <w:rsid w:val="00CB337C"/>
    <w:rsid w:val="00CE1E93"/>
    <w:rsid w:val="00DD2266"/>
    <w:rsid w:val="00E1236B"/>
    <w:rsid w:val="00E637C0"/>
    <w:rsid w:val="00E73030"/>
    <w:rsid w:val="00F254E5"/>
    <w:rsid w:val="00FD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34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D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ShapkaDocumentu">
    <w:name w:val="Shapka Documentu"/>
    <w:basedOn w:val="a"/>
    <w:rsid w:val="003D0D34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ормальний текст"/>
    <w:basedOn w:val="a"/>
    <w:rsid w:val="003D0D34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rvps2">
    <w:name w:val="rvps2"/>
    <w:basedOn w:val="a"/>
    <w:rsid w:val="003D0D34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3D0D3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B7CD3"/>
    <w:pPr>
      <w:spacing w:before="100" w:beforeAutospacing="1" w:after="100" w:afterAutospacing="1"/>
    </w:pPr>
  </w:style>
  <w:style w:type="character" w:customStyle="1" w:styleId="FontStyle15">
    <w:name w:val="Font Style15"/>
    <w:basedOn w:val="a0"/>
    <w:rsid w:val="00F254E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4003</Words>
  <Characters>2282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cp:lastPrinted>2020-12-28T08:42:00Z</cp:lastPrinted>
  <dcterms:created xsi:type="dcterms:W3CDTF">2020-12-28T10:00:00Z</dcterms:created>
  <dcterms:modified xsi:type="dcterms:W3CDTF">2020-12-28T10:00:00Z</dcterms:modified>
</cp:coreProperties>
</file>